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B8" w:rsidRDefault="003B53B8" w:rsidP="003B53B8">
      <w:pPr>
        <w:pStyle w:val="LAPHeading"/>
        <w:spacing w:before="0"/>
        <w:rPr>
          <w:sz w:val="24"/>
          <w:lang w:val="en-US"/>
        </w:rPr>
      </w:pPr>
      <w:r>
        <w:rPr>
          <w:sz w:val="24"/>
          <w:lang w:val="en-US"/>
        </w:rPr>
        <w:t>Stage 1 General Mathematics</w:t>
      </w:r>
    </w:p>
    <w:p w:rsidR="003B53B8" w:rsidRPr="004963F3" w:rsidRDefault="003B53B8" w:rsidP="003B53B8">
      <w:pPr>
        <w:pStyle w:val="LAPHeading"/>
        <w:spacing w:before="0"/>
        <w:rPr>
          <w:sz w:val="24"/>
          <w:lang w:val="en-US"/>
        </w:rPr>
      </w:pPr>
      <w:r>
        <w:rPr>
          <w:sz w:val="24"/>
          <w:lang w:val="en-US"/>
        </w:rPr>
        <w:t>Assessment Overview</w:t>
      </w:r>
    </w:p>
    <w:p w:rsidR="003B53B8" w:rsidRPr="003B53B8" w:rsidRDefault="003B53B8" w:rsidP="003B53B8">
      <w:pPr>
        <w:rPr>
          <w:rFonts w:cs="Arial"/>
          <w:sz w:val="22"/>
          <w:szCs w:val="22"/>
          <w:lang w:val="en-US"/>
        </w:rPr>
      </w:pPr>
      <w:bookmarkStart w:id="0" w:name="_GoBack"/>
      <w:r w:rsidRPr="003B53B8">
        <w:rPr>
          <w:rFonts w:cs="Arial"/>
          <w:sz w:val="22"/>
          <w:szCs w:val="22"/>
          <w:lang w:val="en-US"/>
        </w:rPr>
        <w:t>The table below provides details of the planned tasks and shows where students have the opportunity to provide evidence for each of the specific features of both assessment design criteria.</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497"/>
        <w:gridCol w:w="4394"/>
      </w:tblGrid>
      <w:tr w:rsidR="003B53B8" w:rsidRPr="00C85B9F" w:rsidTr="003B53B8">
        <w:trPr>
          <w:trHeight w:val="345"/>
          <w:tblHeader/>
        </w:trPr>
        <w:tc>
          <w:tcPr>
            <w:tcW w:w="1418" w:type="dxa"/>
            <w:vMerge w:val="restart"/>
            <w:shd w:val="clear" w:color="auto" w:fill="auto"/>
            <w:vAlign w:val="center"/>
          </w:tcPr>
          <w:bookmarkEnd w:id="0"/>
          <w:p w:rsidR="003B53B8" w:rsidRPr="000D3491" w:rsidRDefault="003B53B8" w:rsidP="00CA22FA">
            <w:pPr>
              <w:pStyle w:val="LAPTableHeading1Centered"/>
            </w:pPr>
            <w:r w:rsidRPr="000D3491">
              <w:t>Assessment Type and Weighting</w:t>
            </w:r>
          </w:p>
        </w:tc>
        <w:tc>
          <w:tcPr>
            <w:tcW w:w="9497" w:type="dxa"/>
            <w:vMerge w:val="restart"/>
            <w:shd w:val="clear" w:color="auto" w:fill="auto"/>
            <w:vAlign w:val="center"/>
          </w:tcPr>
          <w:p w:rsidR="003B53B8" w:rsidRPr="000D3491" w:rsidRDefault="003B53B8" w:rsidP="00CA22FA">
            <w:pPr>
              <w:pStyle w:val="LAPTableHeading1Centered"/>
            </w:pPr>
            <w:r w:rsidRPr="000D3491">
              <w:t>Name and details of assessment</w:t>
            </w:r>
          </w:p>
        </w:tc>
        <w:tc>
          <w:tcPr>
            <w:tcW w:w="4394" w:type="dxa"/>
            <w:vMerge w:val="restart"/>
            <w:shd w:val="clear" w:color="auto" w:fill="auto"/>
            <w:vAlign w:val="center"/>
          </w:tcPr>
          <w:p w:rsidR="003B53B8" w:rsidRPr="00C85B9F" w:rsidRDefault="003B53B8" w:rsidP="00CA22FA">
            <w:pPr>
              <w:pStyle w:val="LAPTableHeading1Centered"/>
              <w:rPr>
                <w:lang w:val="en-US"/>
              </w:rPr>
            </w:pPr>
            <w:r w:rsidRPr="00D00A28">
              <w:rPr>
                <w:lang w:val="en-US"/>
              </w:rPr>
              <w:t>Assessment conditions</w:t>
            </w:r>
            <w:r>
              <w:rPr>
                <w:lang w:val="en-US"/>
              </w:rPr>
              <w:br/>
            </w:r>
            <w:r w:rsidRPr="00395219">
              <w:rPr>
                <w:b w:val="0"/>
                <w:lang w:val="en-US"/>
              </w:rPr>
              <w:t xml:space="preserve">(e.g. task type, </w:t>
            </w:r>
            <w:r>
              <w:rPr>
                <w:b w:val="0"/>
                <w:lang w:val="en-US"/>
              </w:rPr>
              <w:t>page limit</w:t>
            </w:r>
            <w:r w:rsidRPr="00395219">
              <w:rPr>
                <w:b w:val="0"/>
                <w:lang w:val="en-US"/>
              </w:rPr>
              <w:t>, time allocated, supervision)</w:t>
            </w:r>
          </w:p>
        </w:tc>
      </w:tr>
      <w:tr w:rsidR="003B53B8" w:rsidRPr="00C85B9F" w:rsidTr="003B53B8">
        <w:trPr>
          <w:trHeight w:val="345"/>
          <w:tblHeader/>
        </w:trPr>
        <w:tc>
          <w:tcPr>
            <w:tcW w:w="1418" w:type="dxa"/>
            <w:vMerge/>
            <w:tcBorders>
              <w:bottom w:val="single" w:sz="4" w:space="0" w:color="auto"/>
            </w:tcBorders>
            <w:shd w:val="clear" w:color="auto" w:fill="auto"/>
            <w:vAlign w:val="center"/>
          </w:tcPr>
          <w:p w:rsidR="003B53B8" w:rsidRPr="000D3491" w:rsidRDefault="003B53B8" w:rsidP="00CA22FA">
            <w:pPr>
              <w:pStyle w:val="LAPTableHeading1Centered"/>
            </w:pPr>
          </w:p>
        </w:tc>
        <w:tc>
          <w:tcPr>
            <w:tcW w:w="9497" w:type="dxa"/>
            <w:vMerge/>
            <w:shd w:val="clear" w:color="auto" w:fill="auto"/>
            <w:vAlign w:val="center"/>
          </w:tcPr>
          <w:p w:rsidR="003B53B8" w:rsidRPr="000D3491" w:rsidRDefault="003B53B8" w:rsidP="00CA22FA">
            <w:pPr>
              <w:pStyle w:val="LAPTableHeading1Centered"/>
            </w:pPr>
          </w:p>
        </w:tc>
        <w:tc>
          <w:tcPr>
            <w:tcW w:w="4394" w:type="dxa"/>
            <w:vMerge/>
            <w:shd w:val="clear" w:color="auto" w:fill="auto"/>
            <w:vAlign w:val="center"/>
          </w:tcPr>
          <w:p w:rsidR="003B53B8" w:rsidRPr="00C85B9F" w:rsidRDefault="003B53B8" w:rsidP="00CA22FA">
            <w:pPr>
              <w:rPr>
                <w:rFonts w:cs="Arial"/>
                <w:sz w:val="20"/>
                <w:szCs w:val="20"/>
                <w:lang w:val="en-US"/>
              </w:rPr>
            </w:pPr>
          </w:p>
        </w:tc>
      </w:tr>
      <w:tr w:rsidR="003B53B8" w:rsidRPr="00C85B9F" w:rsidTr="003B53B8">
        <w:trPr>
          <w:trHeight w:val="1130"/>
        </w:trPr>
        <w:tc>
          <w:tcPr>
            <w:tcW w:w="1418" w:type="dxa"/>
            <w:vMerge w:val="restart"/>
            <w:shd w:val="clear" w:color="auto" w:fill="auto"/>
            <w:vAlign w:val="center"/>
          </w:tcPr>
          <w:p w:rsidR="003B53B8" w:rsidRPr="000D3491" w:rsidRDefault="003B53B8" w:rsidP="00CA22FA">
            <w:pPr>
              <w:pStyle w:val="LAPTableHeading1Centered"/>
            </w:pPr>
            <w:r w:rsidRPr="000D3491">
              <w:t>Skills and Applications Tasks</w:t>
            </w:r>
          </w:p>
          <w:p w:rsidR="003B53B8" w:rsidRPr="000D3491" w:rsidRDefault="003B53B8" w:rsidP="00CA22FA">
            <w:pPr>
              <w:pStyle w:val="LAPTableHeading1Centered"/>
            </w:pPr>
          </w:p>
          <w:p w:rsidR="003B53B8" w:rsidRPr="000D3491" w:rsidRDefault="003B53B8" w:rsidP="00CA22FA">
            <w:pPr>
              <w:pStyle w:val="LAPTableHeading1Centered"/>
            </w:pPr>
            <w:r w:rsidRPr="000D3491">
              <w:t xml:space="preserve">Weighting </w:t>
            </w:r>
            <w:r>
              <w:t>65</w:t>
            </w:r>
            <w:r w:rsidRPr="000D3491">
              <w:t>%</w:t>
            </w:r>
          </w:p>
        </w:tc>
        <w:tc>
          <w:tcPr>
            <w:tcW w:w="9497" w:type="dxa"/>
            <w:shd w:val="clear" w:color="auto" w:fill="auto"/>
          </w:tcPr>
          <w:p w:rsidR="003B53B8" w:rsidRPr="003B53B8" w:rsidRDefault="003B53B8" w:rsidP="00CA22FA">
            <w:pPr>
              <w:pStyle w:val="LAPTableText"/>
              <w:spacing w:before="120" w:after="40"/>
              <w:rPr>
                <w:sz w:val="22"/>
                <w:szCs w:val="22"/>
              </w:rPr>
            </w:pPr>
            <w:r w:rsidRPr="003B53B8">
              <w:rPr>
                <w:sz w:val="22"/>
                <w:szCs w:val="22"/>
              </w:rPr>
              <w:t xml:space="preserve">Students demonstrate mathematical knowledge and skills from </w:t>
            </w:r>
            <w:r w:rsidRPr="003B53B8">
              <w:rPr>
                <w:b/>
                <w:sz w:val="22"/>
                <w:szCs w:val="22"/>
                <w:u w:val="single"/>
              </w:rPr>
              <w:t>Topic One: Investing and Borrowing</w:t>
            </w:r>
            <w:r w:rsidRPr="003B53B8">
              <w:rPr>
                <w:sz w:val="22"/>
                <w:szCs w:val="22"/>
              </w:rPr>
              <w:t>. The content covers key questions and key concepts within subtopics 1.1 and 1.2. Students apply their knowledge and skills to a range of routine and complex questions.</w:t>
            </w:r>
          </w:p>
          <w:p w:rsidR="003B53B8" w:rsidRPr="003B53B8" w:rsidRDefault="003B53B8" w:rsidP="00CA22FA">
            <w:pPr>
              <w:spacing w:before="40" w:after="40"/>
              <w:rPr>
                <w:rFonts w:cs="Arial"/>
                <w:sz w:val="22"/>
                <w:szCs w:val="22"/>
              </w:rPr>
            </w:pPr>
            <w:r w:rsidRPr="003B53B8">
              <w:rPr>
                <w:rFonts w:cs="Arial"/>
                <w:sz w:val="22"/>
                <w:szCs w:val="22"/>
              </w:rPr>
              <w:t>The complex questions require students to apply the key concepts to solve problems in a variety of contexts and some require interpretation of the results.</w:t>
            </w:r>
          </w:p>
          <w:p w:rsidR="003B53B8" w:rsidRPr="003B53B8" w:rsidRDefault="003B53B8" w:rsidP="00CA22FA">
            <w:pPr>
              <w:spacing w:before="40" w:after="120"/>
              <w:rPr>
                <w:rFonts w:cs="Arial"/>
                <w:sz w:val="22"/>
                <w:szCs w:val="22"/>
              </w:rPr>
            </w:pPr>
            <w:r w:rsidRPr="003B53B8">
              <w:rPr>
                <w:rFonts w:cs="Arial"/>
                <w:sz w:val="22"/>
                <w:szCs w:val="22"/>
              </w:rPr>
              <w:t>Appropriate and effective use of electronic technology is expected. Clear and logical communication of solutions and correct use of notation and terminology are required.</w:t>
            </w:r>
          </w:p>
        </w:tc>
        <w:tc>
          <w:tcPr>
            <w:tcW w:w="4394" w:type="dxa"/>
            <w:shd w:val="clear" w:color="auto" w:fill="auto"/>
            <w:vAlign w:val="center"/>
          </w:tcPr>
          <w:p w:rsidR="003B53B8" w:rsidRPr="003B53B8" w:rsidRDefault="003B53B8" w:rsidP="00CA22FA">
            <w:pPr>
              <w:pStyle w:val="LAPTableText"/>
              <w:rPr>
                <w:sz w:val="22"/>
                <w:szCs w:val="22"/>
                <w:lang w:val="en-US"/>
              </w:rPr>
            </w:pPr>
            <w:r w:rsidRPr="003B53B8">
              <w:rPr>
                <w:sz w:val="22"/>
                <w:szCs w:val="22"/>
                <w:lang w:val="en-US"/>
              </w:rPr>
              <w:t>Supervised written assessment.</w:t>
            </w:r>
          </w:p>
          <w:p w:rsidR="003B53B8" w:rsidRPr="003B53B8" w:rsidRDefault="003B53B8" w:rsidP="00CA22FA">
            <w:pPr>
              <w:pStyle w:val="LAPTableText"/>
              <w:rPr>
                <w:sz w:val="22"/>
                <w:szCs w:val="22"/>
                <w:lang w:val="en-US"/>
              </w:rPr>
            </w:pPr>
            <w:r w:rsidRPr="003B53B8">
              <w:rPr>
                <w:sz w:val="22"/>
                <w:szCs w:val="22"/>
                <w:lang w:val="en-US"/>
              </w:rPr>
              <w:t>One A4 page of handwritten notes permitted.</w:t>
            </w:r>
          </w:p>
          <w:p w:rsidR="003B53B8" w:rsidRPr="003B53B8" w:rsidRDefault="003B53B8" w:rsidP="00CA22FA">
            <w:pPr>
              <w:rPr>
                <w:rFonts w:cs="Arial"/>
                <w:sz w:val="22"/>
                <w:szCs w:val="22"/>
                <w:lang w:val="en-US"/>
              </w:rPr>
            </w:pPr>
            <w:r w:rsidRPr="003B53B8">
              <w:rPr>
                <w:sz w:val="22"/>
                <w:szCs w:val="22"/>
                <w:lang w:val="en-US"/>
              </w:rPr>
              <w:t>Total time: 50 minutes</w:t>
            </w:r>
          </w:p>
        </w:tc>
      </w:tr>
      <w:tr w:rsidR="003B53B8" w:rsidRPr="00C85B9F" w:rsidTr="003B53B8">
        <w:trPr>
          <w:trHeight w:val="1122"/>
        </w:trPr>
        <w:tc>
          <w:tcPr>
            <w:tcW w:w="1418" w:type="dxa"/>
            <w:vMerge/>
            <w:shd w:val="clear" w:color="auto" w:fill="auto"/>
            <w:vAlign w:val="center"/>
          </w:tcPr>
          <w:p w:rsidR="003B53B8" w:rsidRPr="000D3491" w:rsidRDefault="003B53B8" w:rsidP="00CA22FA">
            <w:pPr>
              <w:pStyle w:val="LAPTableHeading1Centered"/>
            </w:pPr>
          </w:p>
        </w:tc>
        <w:tc>
          <w:tcPr>
            <w:tcW w:w="9497" w:type="dxa"/>
            <w:shd w:val="clear" w:color="auto" w:fill="auto"/>
          </w:tcPr>
          <w:p w:rsidR="003B53B8" w:rsidRPr="003B53B8" w:rsidRDefault="003B53B8" w:rsidP="00CA22FA">
            <w:pPr>
              <w:spacing w:before="120" w:after="120"/>
              <w:rPr>
                <w:sz w:val="22"/>
                <w:szCs w:val="22"/>
              </w:rPr>
            </w:pPr>
            <w:r w:rsidRPr="003B53B8">
              <w:rPr>
                <w:sz w:val="22"/>
                <w:szCs w:val="22"/>
              </w:rPr>
              <w:t xml:space="preserve">Key questions and key concepts from </w:t>
            </w:r>
            <w:r w:rsidRPr="003B53B8">
              <w:rPr>
                <w:b/>
                <w:sz w:val="22"/>
                <w:szCs w:val="22"/>
                <w:u w:val="single"/>
              </w:rPr>
              <w:t>Topic Two: Measurement</w:t>
            </w:r>
            <w:r w:rsidRPr="003B53B8">
              <w:rPr>
                <w:sz w:val="22"/>
                <w:szCs w:val="22"/>
              </w:rPr>
              <w:t xml:space="preserve"> is the focus of a range of routine and complex questions in SAT 2. Students demonstrate mathematical knowledge and skills of key questions and key concepts from measurement subtopics 2.1, 2.2, 2.3 and part of 2.4 (scales). Students apply their knowledge and skills to a range of routine and complex questions in a variety of contexts. Most questions require the aid of electronic technology. Correct use of notation and terminology are required.</w:t>
            </w:r>
          </w:p>
        </w:tc>
        <w:tc>
          <w:tcPr>
            <w:tcW w:w="4394" w:type="dxa"/>
            <w:shd w:val="clear" w:color="auto" w:fill="auto"/>
            <w:vAlign w:val="center"/>
          </w:tcPr>
          <w:p w:rsidR="003B53B8" w:rsidRPr="003B53B8" w:rsidRDefault="003B53B8" w:rsidP="00CA22FA">
            <w:pPr>
              <w:pStyle w:val="LAPTableText"/>
              <w:rPr>
                <w:sz w:val="22"/>
                <w:szCs w:val="22"/>
                <w:lang w:val="en-US"/>
              </w:rPr>
            </w:pPr>
            <w:r w:rsidRPr="003B53B8">
              <w:rPr>
                <w:sz w:val="22"/>
                <w:szCs w:val="22"/>
                <w:lang w:val="en-US"/>
              </w:rPr>
              <w:t>Supervised written assessment.</w:t>
            </w:r>
          </w:p>
          <w:p w:rsidR="003B53B8" w:rsidRPr="003B53B8" w:rsidRDefault="003B53B8" w:rsidP="00CA22FA">
            <w:pPr>
              <w:pStyle w:val="LAPTableText"/>
              <w:rPr>
                <w:sz w:val="22"/>
                <w:szCs w:val="22"/>
              </w:rPr>
            </w:pPr>
            <w:r w:rsidRPr="003B53B8">
              <w:rPr>
                <w:sz w:val="22"/>
                <w:szCs w:val="22"/>
              </w:rPr>
              <w:t>Students will be provided with formulae for perimeter, area and volume and surface area.</w:t>
            </w:r>
          </w:p>
          <w:p w:rsidR="003B53B8" w:rsidRPr="003B53B8" w:rsidRDefault="003B53B8" w:rsidP="00CA22FA">
            <w:pPr>
              <w:pStyle w:val="LAPTableText"/>
              <w:rPr>
                <w:sz w:val="22"/>
                <w:szCs w:val="22"/>
                <w:highlight w:val="yellow"/>
                <w:lang w:val="en-US"/>
              </w:rPr>
            </w:pPr>
            <w:r w:rsidRPr="003B53B8">
              <w:rPr>
                <w:sz w:val="22"/>
                <w:szCs w:val="22"/>
                <w:lang w:val="en-US"/>
              </w:rPr>
              <w:t>Total time: 50 minutes</w:t>
            </w:r>
          </w:p>
        </w:tc>
      </w:tr>
      <w:tr w:rsidR="003B53B8" w:rsidRPr="00C85B9F" w:rsidTr="003B53B8">
        <w:trPr>
          <w:trHeight w:val="1276"/>
        </w:trPr>
        <w:tc>
          <w:tcPr>
            <w:tcW w:w="1418" w:type="dxa"/>
            <w:vMerge/>
            <w:tcBorders>
              <w:bottom w:val="single" w:sz="4" w:space="0" w:color="auto"/>
            </w:tcBorders>
            <w:shd w:val="clear" w:color="auto" w:fill="auto"/>
            <w:vAlign w:val="center"/>
          </w:tcPr>
          <w:p w:rsidR="003B53B8" w:rsidRPr="000D3491" w:rsidRDefault="003B53B8" w:rsidP="00CA22FA">
            <w:pPr>
              <w:pStyle w:val="LAPTableHeading1Centered"/>
            </w:pPr>
          </w:p>
        </w:tc>
        <w:tc>
          <w:tcPr>
            <w:tcW w:w="9497" w:type="dxa"/>
            <w:tcBorders>
              <w:bottom w:val="single" w:sz="4" w:space="0" w:color="auto"/>
            </w:tcBorders>
            <w:shd w:val="clear" w:color="auto" w:fill="auto"/>
          </w:tcPr>
          <w:p w:rsidR="003B53B8" w:rsidRPr="003B53B8" w:rsidRDefault="003B53B8" w:rsidP="00CA22FA">
            <w:pPr>
              <w:pStyle w:val="LAPTableText"/>
              <w:spacing w:before="120"/>
              <w:rPr>
                <w:sz w:val="22"/>
                <w:szCs w:val="22"/>
              </w:rPr>
            </w:pPr>
            <w:r w:rsidRPr="003B53B8">
              <w:rPr>
                <w:b/>
                <w:sz w:val="22"/>
                <w:szCs w:val="22"/>
                <w:u w:val="single"/>
              </w:rPr>
              <w:t>Topic Three: Statistical Investigation.</w:t>
            </w:r>
          </w:p>
          <w:p w:rsidR="003B53B8" w:rsidRPr="003B53B8" w:rsidRDefault="003B53B8" w:rsidP="00CA22FA">
            <w:pPr>
              <w:pStyle w:val="LAPTableText"/>
              <w:rPr>
                <w:sz w:val="22"/>
                <w:szCs w:val="22"/>
              </w:rPr>
            </w:pPr>
            <w:r w:rsidRPr="003B53B8">
              <w:rPr>
                <w:sz w:val="22"/>
                <w:szCs w:val="22"/>
              </w:rPr>
              <w:t xml:space="preserve">Mathematical knowledge and skills based upon the key questions and key concepts from all subtopics are assessed. The assessment includes both routine and complex problems, some requiring interpretation and comparison of two or more sets of data. </w:t>
            </w:r>
          </w:p>
          <w:p w:rsidR="003B53B8" w:rsidRPr="003B53B8" w:rsidRDefault="003B53B8" w:rsidP="00CA22FA">
            <w:pPr>
              <w:spacing w:before="40" w:after="120"/>
              <w:rPr>
                <w:rFonts w:cs="Arial"/>
                <w:sz w:val="22"/>
                <w:szCs w:val="22"/>
                <w:lang w:val="en-US"/>
              </w:rPr>
            </w:pPr>
            <w:r w:rsidRPr="003B53B8">
              <w:rPr>
                <w:rFonts w:cs="Arial"/>
                <w:sz w:val="22"/>
                <w:szCs w:val="22"/>
              </w:rPr>
              <w:t>Appropriate and effective use of electronic technology is expected. Clear and logical communication of solutions and correct use of notation and terminology are required.</w:t>
            </w:r>
          </w:p>
        </w:tc>
        <w:tc>
          <w:tcPr>
            <w:tcW w:w="4394" w:type="dxa"/>
            <w:tcBorders>
              <w:bottom w:val="single" w:sz="4" w:space="0" w:color="auto"/>
            </w:tcBorders>
            <w:shd w:val="clear" w:color="auto" w:fill="auto"/>
            <w:vAlign w:val="center"/>
          </w:tcPr>
          <w:p w:rsidR="003B53B8" w:rsidRPr="003B53B8" w:rsidRDefault="003B53B8" w:rsidP="00CA22FA">
            <w:pPr>
              <w:pStyle w:val="LAPTableText"/>
              <w:rPr>
                <w:sz w:val="22"/>
                <w:szCs w:val="22"/>
              </w:rPr>
            </w:pPr>
            <w:r w:rsidRPr="003B53B8">
              <w:rPr>
                <w:sz w:val="22"/>
                <w:szCs w:val="22"/>
              </w:rPr>
              <w:t>Supervised written assessment.</w:t>
            </w:r>
          </w:p>
          <w:p w:rsidR="003B53B8" w:rsidRPr="003B53B8" w:rsidRDefault="003B53B8" w:rsidP="00CA22FA">
            <w:pPr>
              <w:pStyle w:val="LAPTableText"/>
              <w:rPr>
                <w:sz w:val="22"/>
                <w:szCs w:val="22"/>
                <w:lang w:val="en-US"/>
              </w:rPr>
            </w:pPr>
            <w:r w:rsidRPr="003B53B8">
              <w:rPr>
                <w:sz w:val="22"/>
                <w:szCs w:val="22"/>
                <w:lang w:val="en-US"/>
              </w:rPr>
              <w:t>One A4 page of handwritten notes permitted.</w:t>
            </w:r>
          </w:p>
          <w:p w:rsidR="003B53B8" w:rsidRPr="003B53B8" w:rsidRDefault="003B53B8" w:rsidP="00CA22FA">
            <w:pPr>
              <w:rPr>
                <w:rFonts w:cs="Arial"/>
                <w:sz w:val="22"/>
                <w:szCs w:val="22"/>
              </w:rPr>
            </w:pPr>
            <w:r w:rsidRPr="003B53B8">
              <w:rPr>
                <w:sz w:val="22"/>
                <w:szCs w:val="22"/>
              </w:rPr>
              <w:t>Total time: 50 minutes</w:t>
            </w:r>
          </w:p>
        </w:tc>
      </w:tr>
      <w:tr w:rsidR="003B53B8" w:rsidRPr="00C85B9F" w:rsidTr="003B53B8">
        <w:trPr>
          <w:trHeight w:val="948"/>
        </w:trPr>
        <w:tc>
          <w:tcPr>
            <w:tcW w:w="1418" w:type="dxa"/>
            <w:tcBorders>
              <w:top w:val="single" w:sz="4" w:space="0" w:color="auto"/>
            </w:tcBorders>
            <w:shd w:val="clear" w:color="auto" w:fill="auto"/>
            <w:vAlign w:val="center"/>
          </w:tcPr>
          <w:p w:rsidR="003B53B8" w:rsidRPr="000D3491" w:rsidRDefault="003B53B8" w:rsidP="00CA22FA">
            <w:pPr>
              <w:pStyle w:val="LAPTableHeading1Centered"/>
            </w:pPr>
            <w:r w:rsidRPr="000D3491">
              <w:t>Mathematical Investigation</w:t>
            </w:r>
          </w:p>
          <w:p w:rsidR="003B53B8" w:rsidRPr="000D3491" w:rsidRDefault="003B53B8" w:rsidP="00CA22FA">
            <w:pPr>
              <w:pStyle w:val="LAPTableHeading1Centered"/>
            </w:pPr>
          </w:p>
          <w:p w:rsidR="003B53B8" w:rsidRPr="000D3491" w:rsidRDefault="003B53B8" w:rsidP="00CA22FA">
            <w:pPr>
              <w:pStyle w:val="LAPTableHeading1Centered"/>
            </w:pPr>
            <w:r w:rsidRPr="000D3491">
              <w:t xml:space="preserve">Weighting </w:t>
            </w:r>
            <w:r>
              <w:t>35</w:t>
            </w:r>
            <w:r w:rsidRPr="000D3491">
              <w:t>%</w:t>
            </w:r>
          </w:p>
        </w:tc>
        <w:tc>
          <w:tcPr>
            <w:tcW w:w="9497" w:type="dxa"/>
            <w:tcBorders>
              <w:top w:val="single" w:sz="4" w:space="0" w:color="auto"/>
              <w:bottom w:val="single" w:sz="4" w:space="0" w:color="auto"/>
            </w:tcBorders>
            <w:shd w:val="clear" w:color="auto" w:fill="auto"/>
            <w:vAlign w:val="center"/>
          </w:tcPr>
          <w:p w:rsidR="003B53B8" w:rsidRPr="003B53B8" w:rsidRDefault="003B53B8" w:rsidP="00CA22FA">
            <w:pPr>
              <w:tabs>
                <w:tab w:val="left" w:pos="960"/>
              </w:tabs>
              <w:spacing w:before="120" w:after="120"/>
              <w:rPr>
                <w:sz w:val="22"/>
                <w:szCs w:val="22"/>
                <w:lang w:val="en-US"/>
              </w:rPr>
            </w:pPr>
            <w:r w:rsidRPr="003B53B8">
              <w:rPr>
                <w:rFonts w:cs="Arial"/>
                <w:sz w:val="22"/>
                <w:szCs w:val="22"/>
              </w:rPr>
              <w:t>In this task students are required to design one piece for an outdoor chess set using a combination of mathematical solids. They will then cost the construction of their design including casting in lightweight concrete and coating in a decorative paint. Scope for complexity is provided by the choice of piece to model and the mathematical solids used. Students are required to consider the reasonableness of their results by examining the underlying assumptions of their mathematical model.</w:t>
            </w:r>
          </w:p>
        </w:tc>
        <w:tc>
          <w:tcPr>
            <w:tcW w:w="4394" w:type="dxa"/>
            <w:tcBorders>
              <w:top w:val="single" w:sz="4" w:space="0" w:color="auto"/>
              <w:bottom w:val="single" w:sz="4" w:space="0" w:color="auto"/>
            </w:tcBorders>
            <w:shd w:val="clear" w:color="auto" w:fill="auto"/>
            <w:vAlign w:val="center"/>
          </w:tcPr>
          <w:p w:rsidR="003B53B8" w:rsidRPr="003B53B8" w:rsidRDefault="003B53B8" w:rsidP="00CA22FA">
            <w:pPr>
              <w:pStyle w:val="LAPTableText"/>
              <w:rPr>
                <w:sz w:val="22"/>
                <w:szCs w:val="22"/>
              </w:rPr>
            </w:pPr>
            <w:r w:rsidRPr="003B53B8">
              <w:rPr>
                <w:sz w:val="22"/>
                <w:szCs w:val="22"/>
              </w:rPr>
              <w:t>3 weeks to complete. Some class time is allowed to support verification.</w:t>
            </w:r>
          </w:p>
          <w:p w:rsidR="003B53B8" w:rsidRPr="003B53B8" w:rsidRDefault="003B53B8" w:rsidP="00CA22FA">
            <w:pPr>
              <w:pStyle w:val="LAPTableText"/>
              <w:rPr>
                <w:b/>
                <w:sz w:val="22"/>
                <w:szCs w:val="22"/>
              </w:rPr>
            </w:pPr>
            <w:r w:rsidRPr="003B53B8">
              <w:rPr>
                <w:b/>
                <w:sz w:val="22"/>
                <w:szCs w:val="22"/>
              </w:rPr>
              <w:t>Maximum of 8 A4 pages.</w:t>
            </w:r>
          </w:p>
          <w:p w:rsidR="003B53B8" w:rsidRPr="003B53B8" w:rsidRDefault="003B53B8" w:rsidP="00CA22FA">
            <w:pPr>
              <w:pStyle w:val="LAPTableText"/>
              <w:rPr>
                <w:sz w:val="22"/>
                <w:szCs w:val="22"/>
              </w:rPr>
            </w:pPr>
            <w:r w:rsidRPr="003B53B8">
              <w:rPr>
                <w:sz w:val="22"/>
                <w:szCs w:val="22"/>
              </w:rPr>
              <w:t>Appropriate investigation report format as described in the General Mathematics subject outline.</w:t>
            </w:r>
          </w:p>
        </w:tc>
      </w:tr>
    </w:tbl>
    <w:p w:rsidR="003E281B" w:rsidRDefault="003E281B"/>
    <w:sectPr w:rsidR="003E281B" w:rsidSect="003B53B8">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B8"/>
    <w:rsid w:val="003B53B8"/>
    <w:rsid w:val="003E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3E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B8"/>
    <w:rPr>
      <w:rFonts w:eastAsia="SimSu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Heading">
    <w:name w:val="LAP Heading"/>
    <w:qFormat/>
    <w:rsid w:val="003B53B8"/>
    <w:pPr>
      <w:spacing w:before="120" w:after="120"/>
      <w:jc w:val="center"/>
    </w:pPr>
    <w:rPr>
      <w:rFonts w:eastAsia="Calibri" w:cs="Arial"/>
      <w:b/>
      <w:bCs/>
      <w:noProof/>
      <w:sz w:val="28"/>
      <w:szCs w:val="28"/>
      <w:lang w:val="en-AU" w:eastAsia="en-AU"/>
    </w:rPr>
  </w:style>
  <w:style w:type="paragraph" w:customStyle="1" w:styleId="LAPTableText">
    <w:name w:val="LAP Table Text"/>
    <w:next w:val="Normal"/>
    <w:qFormat/>
    <w:rsid w:val="003B53B8"/>
    <w:pPr>
      <w:spacing w:before="60" w:after="60"/>
    </w:pPr>
    <w:rPr>
      <w:rFonts w:eastAsia="SimSun" w:cs="Arial"/>
      <w:sz w:val="18"/>
      <w:szCs w:val="18"/>
      <w:lang w:val="en-AU"/>
    </w:rPr>
  </w:style>
  <w:style w:type="paragraph" w:customStyle="1" w:styleId="LAPTableHeading1Centered">
    <w:name w:val="LAP Table Heading 1 + Centered"/>
    <w:basedOn w:val="Normal"/>
    <w:qFormat/>
    <w:rsid w:val="003B53B8"/>
    <w:pPr>
      <w:spacing w:before="20" w:after="20"/>
      <w:jc w:val="center"/>
    </w:pPr>
    <w:rPr>
      <w:rFonts w:eastAsia="Times New Roman"/>
      <w:b/>
      <w:bCs/>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B8"/>
    <w:rPr>
      <w:rFonts w:eastAsia="SimSu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Heading">
    <w:name w:val="LAP Heading"/>
    <w:qFormat/>
    <w:rsid w:val="003B53B8"/>
    <w:pPr>
      <w:spacing w:before="120" w:after="120"/>
      <w:jc w:val="center"/>
    </w:pPr>
    <w:rPr>
      <w:rFonts w:eastAsia="Calibri" w:cs="Arial"/>
      <w:b/>
      <w:bCs/>
      <w:noProof/>
      <w:sz w:val="28"/>
      <w:szCs w:val="28"/>
      <w:lang w:val="en-AU" w:eastAsia="en-AU"/>
    </w:rPr>
  </w:style>
  <w:style w:type="paragraph" w:customStyle="1" w:styleId="LAPTableText">
    <w:name w:val="LAP Table Text"/>
    <w:next w:val="Normal"/>
    <w:qFormat/>
    <w:rsid w:val="003B53B8"/>
    <w:pPr>
      <w:spacing w:before="60" w:after="60"/>
    </w:pPr>
    <w:rPr>
      <w:rFonts w:eastAsia="SimSun" w:cs="Arial"/>
      <w:sz w:val="18"/>
      <w:szCs w:val="18"/>
      <w:lang w:val="en-AU"/>
    </w:rPr>
  </w:style>
  <w:style w:type="paragraph" w:customStyle="1" w:styleId="LAPTableHeading1Centered">
    <w:name w:val="LAP Table Heading 1 + Centered"/>
    <w:basedOn w:val="Normal"/>
    <w:qFormat/>
    <w:rsid w:val="003B53B8"/>
    <w:pPr>
      <w:spacing w:before="20" w:after="20"/>
      <w:jc w:val="center"/>
    </w:pPr>
    <w:rPr>
      <w:rFonts w:eastAsia="Times New Roman"/>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2600</Characters>
  <Application>Microsoft Macintosh Word</Application>
  <DocSecurity>0</DocSecurity>
  <Lines>21</Lines>
  <Paragraphs>6</Paragraphs>
  <ScaleCrop>false</ScaleCrop>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2016-02-03T13:48:00Z</dcterms:created>
  <dcterms:modified xsi:type="dcterms:W3CDTF">2016-02-03T13:51:00Z</dcterms:modified>
</cp:coreProperties>
</file>